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21</w:t>
      </w:r>
    </w:p>
    <w:p>
      <w:r>
        <w:t>Bundesgericht (BGE), 2000-10-19, DE</w:t>
      </w:r>
    </w:p>
    <w:p>
      <w:r>
        <w:rPr>
          <w:b/>
        </w:rPr>
        <w:t xml:space="preserve">Quelle: </w:t>
      </w:r>
      <w:r>
        <w:t>https://mcp.opencaselaw.ch/entscheid/bge_127 III 21</w:t>
      </w:r>
    </w:p>
    <w:p>
      <w:r>
        <w:t>FR: ATF 127 III 21</w:t>
      </w:r>
    </w:p>
    <w:p>
      <w:r>
        <w:t>IT: DTF 127 III 21</w:t>
      </w:r>
    </w:p>
    <w:p>
      <w:pPr>
        <w:pStyle w:val="Heading2"/>
      </w:pPr>
      <w:r>
        <w:t>Regeste</w:t>
      </w:r>
    </w:p>
    <w:p>
      <w:r>
        <w:t>Regeste Art. 9 VVG; Krankenzusatzversicherung. Gemäss Art. 9 VVG können bereits eingetretene Ereignisse grundsätzlich nicht versichert werden (sog. Rückwärtsversicherungsverbot). Hat der Versicherte vor Vertragsabschluss eine Krankheit erlitten, bei der nach medizinischer Erfahrung mit Rückfällen zu rechnen ist, ist das Ereignis bereits eingetreten, so dass Rückfälle nicht versicherbar sind.</w:t>
      </w:r>
    </w:p>
    <w:p>
      <w:pPr>
        <w:pStyle w:val="Heading2"/>
      </w:pPr>
      <w:r>
        <w:t>Erwägungen</w:t>
      </w:r>
    </w:p>
    <w:p>
      <w:r>
        <w:rPr>
          <w:b/>
        </w:rPr>
        <w:t>E. 1</w:t>
      </w:r>
    </w:p>
    <w:p>
      <w:r>
        <w:t>Die Vorinstanz verneinte ein Rücktrittsrecht der Beklagten gemäss Art. 6 des Bundesgesetzes vom 2. April 1908 über den Versicherungsvertrag (VVG; SR 221.229.1) , da nicht erstellt sei, dass die Klägerin ihre Anzeige- bzw. Nachmeldepflicht verletzt habe. Sie erwog, gemäss Art. 4.1.1 der Allgemeinen Versicherungsbedingungen für die Zusatzversicherung (im Folgenden: AVB) seien bei Inkrafttreten des Vertrages bereits bestehende Leiden von der Versicherung BGE 127 III 21 S. 23 ausgeschlossen. Unter einem bestehenden Leiden sei eine Krankheit zu verstehen, die bereits ausgebrochen sei und bei der Aufnahme in die Kasse andaure. Sowohl Dr. Z. als auch die Rheumatologin Dr. G. seien übereinstimmend zum Schluss gekommen, dass die Klägerin an einer chronischen Polyarthritis leide, deren erster Schub im Jahre 1990 erfolgt sei. Zum Zeitpunkt des Vertragsschlusses sei diese Krankheit bereits ausgebrochen gewesen, wenn sie auch zwischen Januar 1991 und Herbst 1997 offenbar keine Symptome gezeigt habe.</w:t>
      </w:r>
    </w:p>
    <w:p>
      <w:r>
        <w:rPr>
          <w:b/>
        </w:rPr>
        <w:t>E. 2</w:t>
      </w:r>
    </w:p>
    <w:p>
      <w:r>
        <w:t>a) Dass der Klägerin keine Verletzung ihrer Anzeigepflicht vorgeworfen werden kann und die Beklagte mithin zu einem Vertragsrücktritt gemäss Art. 6 VVG nicht berechtigt war, ist nicht mehr umstritten. Zu beurteilen bleibt, ob die Beklagte berechtigt ist, die Ausrichtung von Leistungen für das erneut ausgebrochene Arthritisleiden der Klägerin zu verweigern. Dass die Untersuchung durch Dr. Z. vom 25. November 1997 mangelhaft gewesen sei, wird von der Beklagten nicht behauptet und ergibt sich auch nicht aus den vorinstanzlichen Sachverhaltsfeststellungen, so dass auf die Frage, wem dies anzulasten wäre, nicht einzugehen ist. b) Die Beklagte hält den Argumenten der Klägerin sinngemäss entgegen, eine individuelle Abrede betreffend Kostenübernahme für ein bei Vertragsschluss bereits bestehendes Leiden sei gar nicht möglich, da eine entsprechende Abrede gemäss dem zwingend anwendbaren Art. 9 VVG nichtig wäre. aa) Gemäss Art. 9 VVG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(ROELLI/KELLER/TÄNNLER, Kommentar zum Schweizerischen Bundesgesetz über den Versicherungsvertrag, Band I, Bern 1968, S. 172 ff.). In der Krankenversicherung besteht die Gefahr, gegen deren Folgen versichert wird, in der Erkrankung der versicherten Person (ROELLI/KELLER/TÄNNLER, a.a.O., S. 234). Die Beklagte versichert als Krankheit "jede Beeinträchtigung der körperlichen oder geistigen BGE 127 III 21 S. 24 Gesundheit, die nicht Folge eines Unfalles ist und die eine medizinische Untersuchung oder Behandlung erfordert oder eine Arbeitsunfähigkeit zur Folge hat" (Ziff. 2.4 AVB); die Umschreibung entspricht der Krankheitsdefinition nach Art. 2 Abs. 1 des Bundesgesetzes vom 18. März 1994 über die Krankenversicherung (KVG; SR 832.10). Ist eine Krankheit im Sinne dieser Definition bei Vertragsschluss bereits ausgebrochen, so ist die Versicherung gegen ihre Folgen nach Art. 9 VVG ausgeschlossen, unbekümmert darum, ob sie noch andauert (vgl. BGE 118 V 158 E. 5c S. 169). Nicht erfasst werden von Art. 9 VVG Fälle, da die Gefahr nur teilweise eingetreten ist; die Versicherung eines nach Vertragsschluss eingetretenen Teilereignisses ist zulässig (ROELLI/KELLER/TÄNNLER, a.a.O., S. 175 und Fn. 1). Als nur teilweise eingetreten gilt die Gefahr bei einzelnen Krankheitsfällen (a.a.O., S. 610); insoweit schliessen Erkrankungen vor Abschluss des Versicherungsvertrages die Deckung künftiger Erkrankungen nicht ohne weiteres aus, handle es sich um gleichartige Erkrankungen oder um andersartige. Fraglich ist nun, wie ein Gesundheitszustand zu bewerten ist, wenn die Krankheit früher bereits einmal ausgebrochen ist und, obwohl seither eine längere Phase der Symptomfreiheit zu verzeichnen war, aus medizinischer Sicht die Gefahr von Rückfällen besteht. bb) Nach den im angefochtenen Urteil zitierten Äusserungen von Dr. B. soll sich aus seinen Aufzeichnungen ergeben, dass die Röntgenbilder der Hände und Füsse der Klägerin nebst geringen Abnutzungen Hinweise auf eine Polyarthritis zeigten. Dr. G. erklärte zu Handen der Vorinstanz, eine chronische Polyarthritis könne chronisch progressiv oder intermittierend mit Perioden von teilweiser oder vollständiger Remission verlaufen; bei der Klägerin sei von einem intermittierenden Verlauf auszugehen, wobei im Jahre 1990 der erste Schub erfolgt sei. Schliesslich diagnostizierte nach den Feststellungen der Vorinstanz auch Dr. Z. nach dem Auftreten des zweiten Schubes eine chronische Polyarthritis, wobei die Erkrankung im Jahre 1990 als deren erster Schub zu betrachten sei. Aus medizinischer Sicht ist demnach die Erkrankung der Klägerin als einheitliches Ereignis aufzufassen, wobei die Symptome nur intermittierend auftreten. Der rechtliche Krankheitsbegriff deckt sich nicht notwendig mit dem medizinischen ( BGE 124 V 118 E. 3b S. 121). Das heisst aber nicht, dass er beliebig definierbar ist und auf medizinische Grundgegebenheiten keine Rücksicht zu nehmen hat. Dies wäre aber der Fall, wenn nur darauf abgestellt würde, ob jemand an gesundheitlichen BGE 127 III 21 S. 25 Symptomen leidet und unberücksichtigt bliebe, dass sich die Gesundheit trotz Verschwindens der Symptome in einem prekären Zustand befindet, wenn sich der Wiedereintritt der Störung mit Wahrscheinlichkeit voraussehen lässt, die Krankheit also trotz vorübergehender Symptomfreiheit als Ursache künftiger Störungen bestehen bleibt. Eine Differenzierung aufgrund mehr oder weniger langer symptomfreier Phasen führte zu kaum lösbaren Abgrenzungsschwierigkeiten.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Die Auffassung, wonach nicht das Auftreten von Symptomen, sondern deren medizinische Ursache für die Definition des Krankheitsbegriffs im Vordergrund steht, ist mit der Praxis des Eidgenössischen Versicherungsgerichts ( BGE 124 V 118 E. 6b S. 124 f.), aber auch mit der Regelung des Vorbehaltsrechts in der obligatorischen Krankenversicherung im Einklang. Art. 69 Abs. 1 KVG (SR 832.10) behandelt den Rückfall bezüglich des Ausschlusses aus der freiwilligen Taggeldversicherung ausdrücklich gleich wie eine bestehende Krankheit; schon Art. 5 Abs. 3 KVG kannte eine entsprechende Regelung, die im Übrigen nach der Botschaft des Bundesrates (BBl 1961 I 1440) in Anlehnung an Art. 9 VVG getroffen wurde, dem man auch damals das Verbot der Versicherung von Rückfällen entnahm. Obwohl der Krankheitsschub der Klägerin im Jahre 1998 nach einer relativ langen symptomfreien Phase auftrat, liegt aufgrund der verbindlichen Sachverhaltsdarstellung der behandelnden Ärzte ein Rückfall in eine vorbestehende Krankheit vor. Somit war das massgebende Ereignis mit der vor Vertragsschluss erfolgten Arthritiserkrankung der Klägerin bereits eingetreten und dieses Leiden damit gemäss Art. 9 VVG nicht mehr versicherbar. Da es sich hierbei um eine zwingende Vorschrift handelt ( Art. 97 Abs. 1 VVG ), ist irrelevant, ob die zwischen den Parteien getroffene Individualabrede nach Treu und Glauben als Derogation des Leistungsausschlusses gemäss Art. 4.1.1 AVB zu verstehen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